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291" w:beforeLines="50" w:after="291" w:afterLines="50" w:line="594" w:lineRule="exact"/>
        <w:ind w:left="0" w:leftChars="0" w:firstLine="0" w:firstLineChars="0"/>
        <w:jc w:val="both"/>
        <w:outlineLvl w:val="0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黑体" w:cs="Times New Roman"/>
          <w:color w:val="auto"/>
          <w:kern w:val="0"/>
          <w:sz w:val="32"/>
          <w:szCs w:val="32"/>
          <w:lang w:val="en-US" w:eastAsia="zh-CN"/>
        </w:rPr>
        <w:t>附件</w:t>
      </w:r>
    </w:p>
    <w:p>
      <w:pPr>
        <w:spacing w:before="291" w:beforeLines="50" w:after="291" w:afterLines="50" w:line="594" w:lineRule="exact"/>
        <w:ind w:left="0" w:leftChars="0" w:firstLine="0" w:firstLineChars="0"/>
        <w:jc w:val="center"/>
        <w:outlineLvl w:val="0"/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  <w:lang w:val="en-US" w:eastAsia="zh-CN"/>
        </w:rPr>
        <w:t>202</w:t>
      </w:r>
      <w:r>
        <w:rPr>
          <w:rFonts w:hint="eastAsia" w:ascii="Times New Roman" w:hAnsi="Times New Roman" w:eastAsia="方正小标宋简体" w:cs="Times New Roman"/>
          <w:color w:val="000000"/>
          <w:kern w:val="0"/>
          <w:sz w:val="44"/>
          <w:szCs w:val="44"/>
          <w:lang w:val="en-US" w:eastAsia="zh-CN"/>
        </w:rPr>
        <w:t>4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  <w:lang w:eastAsia="zh-CN"/>
        </w:rPr>
        <w:t>年</w:t>
      </w:r>
      <w:r>
        <w:rPr>
          <w:rFonts w:hint="eastAsia" w:eastAsia="方正小标宋简体" w:cs="Times New Roman"/>
          <w:color w:val="000000"/>
          <w:kern w:val="0"/>
          <w:sz w:val="44"/>
          <w:szCs w:val="44"/>
          <w:lang w:val="en-US" w:eastAsia="zh-CN"/>
        </w:rPr>
        <w:t>第三季度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  <w:lang w:eastAsia="zh-CN"/>
        </w:rPr>
        <w:t>各类食品监督抽检结果汇总表</w:t>
      </w:r>
    </w:p>
    <w:tbl>
      <w:tblPr>
        <w:tblStyle w:val="3"/>
        <w:tblW w:w="90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45" w:type="dxa"/>
          <w:left w:w="28" w:type="dxa"/>
          <w:bottom w:w="45" w:type="dxa"/>
          <w:right w:w="23" w:type="dxa"/>
        </w:tblCellMar>
      </w:tblPr>
      <w:tblGrid>
        <w:gridCol w:w="547"/>
        <w:gridCol w:w="1980"/>
        <w:gridCol w:w="1525"/>
        <w:gridCol w:w="1670"/>
        <w:gridCol w:w="1670"/>
        <w:gridCol w:w="16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tblHeader/>
          <w:jc w:val="center"/>
        </w:trPr>
        <w:tc>
          <w:tcPr>
            <w:tcW w:w="547" w:type="dxa"/>
            <w:noWrap w:val="0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序号</w:t>
            </w:r>
          </w:p>
        </w:tc>
        <w:tc>
          <w:tcPr>
            <w:tcW w:w="1980" w:type="dxa"/>
            <w:noWrap w:val="0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食品种类</w:t>
            </w:r>
          </w:p>
        </w:tc>
        <w:tc>
          <w:tcPr>
            <w:tcW w:w="1525" w:type="dxa"/>
            <w:noWrap w:val="0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样品抽检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数量/批次</w:t>
            </w:r>
          </w:p>
        </w:tc>
        <w:tc>
          <w:tcPr>
            <w:tcW w:w="1670" w:type="dxa"/>
            <w:noWrap w:val="0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rPr>
                <w:rFonts w:hint="eastAsia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合格样品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数量/批次</w:t>
            </w:r>
          </w:p>
        </w:tc>
        <w:tc>
          <w:tcPr>
            <w:tcW w:w="1670" w:type="dxa"/>
            <w:noWrap w:val="0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不合格样品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数量/批次</w:t>
            </w:r>
          </w:p>
        </w:tc>
        <w:tc>
          <w:tcPr>
            <w:tcW w:w="1670" w:type="dxa"/>
            <w:noWrap w:val="0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样品不合格率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vMerge w:val="restart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餐饮食品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239102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222621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16481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6.89%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vMerge w:val="continue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其中：餐饮具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begin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instrText xml:space="preserve"> HYPERLINK "https://spcjdc.gsxt.gov.cn/report/data/javascript:void(0)" \o "https://spcjdc.gsxt.gov.cn/report/data/javascript:void(0)" </w:instrTex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  <w:t>68855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55357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begin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instrText xml:space="preserve"> HYPERLINK "https://spcjdc.gsxt.gov.cn/report/data/javascript:void(0)" \o "https://spcjdc.gsxt.gov.cn/report/data/javascript:void(0)" </w:instrTex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  <w:t>13498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19.60%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食用农产品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831198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797933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33265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4.00%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水产制品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14820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14265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3.74%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蔬菜制品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45891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44544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1347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2.94%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特殊膳食食品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1658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1610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2.90%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炒货食品及坚果制品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24144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23550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594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2.46%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淀粉及淀粉制品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35513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34814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699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1.97%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调味品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111659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109957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1702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1.52%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食糖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14432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14219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213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1.48%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水果制品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29061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28661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400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1.38%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糕点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105541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104126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1415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1.34%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蜂产品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5968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5893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1.26%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饮料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73269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72395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874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1.19%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豆制品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33834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33431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403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1.19%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茶叶及相关制品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20498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20292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206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冷冻饮品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15626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15475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0.97%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食用油、油脂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及其制品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51910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51413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497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0.96%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肉制品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58842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58329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513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0.87%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酒类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70624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70043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0.82%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28914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28692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0.77%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薯类和膨化食品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14037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13937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0.71%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粮食加工品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117299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116517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0.67%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饼干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19125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19007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118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0.62%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速冻食品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28708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28571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0.48%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保健食品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9441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9405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0.38%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罐头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16067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16019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0.30%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食品添加剂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2946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2939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0.24%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糖果制品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23032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22987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0.20%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蛋制品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8232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8220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0.15%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乳制品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32599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32555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0.13%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可可及焙烤咖啡产品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1441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1441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婴幼儿配方食品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1396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1396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特殊医学用途</w:t>
            </w:r>
          </w:p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配方食品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186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186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547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autoSpaceDE/>
              <w:autoSpaceDN/>
              <w:bidi w:val="0"/>
              <w:adjustRightInd w:val="0"/>
              <w:snapToGri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198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其他食品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411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409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0.49%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45" w:type="dxa"/>
            <w:left w:w="28" w:type="dxa"/>
            <w:bottom w:w="45" w:type="dxa"/>
            <w:right w:w="23" w:type="dxa"/>
          </w:tblCellMar>
        </w:tblPrEx>
        <w:trPr>
          <w:trHeight w:val="397" w:hRule="atLeast"/>
          <w:jc w:val="center"/>
        </w:trPr>
        <w:tc>
          <w:tcPr>
            <w:tcW w:w="2527" w:type="dxa"/>
            <w:gridSpan w:val="2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合计</w:t>
            </w:r>
          </w:p>
        </w:tc>
        <w:tc>
          <w:tcPr>
            <w:tcW w:w="1525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2087424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2025852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61572</w:t>
            </w:r>
          </w:p>
        </w:tc>
        <w:tc>
          <w:tcPr>
            <w:tcW w:w="1670" w:type="dxa"/>
            <w:noWrap/>
            <w:tcMar>
              <w:top w:w="45" w:type="dxa"/>
              <w:left w:w="28" w:type="dxa"/>
              <w:bottom w:w="45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pacing w:line="28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2.95%</w:t>
            </w:r>
          </w:p>
        </w:tc>
        <w:bookmarkStart w:id="0" w:name="flddept"/>
        <w:bookmarkStart w:id="1" w:name="AZTSIGN1"/>
        <w:bookmarkStart w:id="2" w:name="fldFWRQ"/>
        <w:bookmarkStart w:id="3" w:name="fldFJ"/>
      </w:tr>
      <w:bookmarkEnd w:id="0"/>
      <w:bookmarkEnd w:id="1"/>
      <w:bookmarkEnd w:id="2"/>
      <w:bookmarkEnd w:id="3"/>
    </w:tbl>
    <w:p>
      <w:bookmarkStart w:id="4" w:name="_GoBack"/>
      <w:bookmarkEnd w:id="4"/>
    </w:p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B3503F"/>
    <w:rsid w:val="24B3503F"/>
    <w:rsid w:val="55E22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240" w:lineRule="auto"/>
      <w:ind w:firstLine="200" w:firstLineChars="200"/>
      <w:jc w:val="both"/>
    </w:pPr>
    <w:rPr>
      <w:rFonts w:ascii="宋体" w:hAnsi="宋体" w:eastAsia="仿宋_GB2312" w:cs="Times New Roman"/>
      <w:color w:val="000000"/>
      <w:sz w:val="32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overflowPunct w:val="0"/>
      <w:topLinePunct/>
      <w:spacing w:before="260" w:beforeLines="0" w:beforeAutospacing="0" w:after="260" w:afterLines="0" w:afterAutospacing="0" w:line="413" w:lineRule="auto"/>
      <w:ind w:firstLine="0" w:firstLineChars="0"/>
      <w:outlineLvl w:val="2"/>
    </w:pPr>
    <w:rPr>
      <w:rFonts w:ascii="Times New Roman" w:hAnsi="Times New Roman" w:cs="Times New Roman"/>
      <w:b/>
      <w:spacing w:val="0"/>
      <w:kern w:val="2"/>
      <w:sz w:val="32"/>
      <w:szCs w:val="32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rFonts w:ascii="Times New Roman" w:hAnsi="Times New Roman" w:eastAsia="宋体"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2024-11-07T06:17:00Z</dcterms:created>
  <dc:creator>王晓峰</dc:creator>
  <cp:lastModifiedBy>王晓峰</cp:lastModifiedBy>
  <dcterms:modified xsi:type="dcterms:W3CDTF">2024-11-07T06:17:59Z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